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3284"/>
        <w:gridCol w:w="3726"/>
      </w:tblGrid>
      <w:tr w:rsidR="00382878" w:rsidTr="00EC310A">
        <w:tc>
          <w:tcPr>
            <w:tcW w:w="2405" w:type="dxa"/>
            <w:shd w:val="clear" w:color="auto" w:fill="auto"/>
          </w:tcPr>
          <w:p w:rsidR="00382878" w:rsidRPr="00EC310A" w:rsidRDefault="00382878" w:rsidP="00EC310A">
            <w:pPr>
              <w:ind w:firstLine="720"/>
            </w:pPr>
          </w:p>
        </w:tc>
        <w:tc>
          <w:tcPr>
            <w:tcW w:w="3828" w:type="dxa"/>
            <w:shd w:val="clear" w:color="auto" w:fill="auto"/>
          </w:tcPr>
          <w:p w:rsidR="00382878" w:rsidRPr="00DB5484" w:rsidRDefault="00382878" w:rsidP="004171E2">
            <w:pPr>
              <w:jc w:val="center"/>
              <w:rPr>
                <w:b/>
                <w:bCs/>
                <w:i/>
                <w:iCs/>
                <w:sz w:val="32"/>
                <w:szCs w:val="32"/>
              </w:rPr>
            </w:pPr>
            <w:r w:rsidRPr="00EC310A">
              <w:rPr>
                <w:rFonts w:cs="Mangal"/>
                <w:b/>
                <w:bCs/>
                <w:sz w:val="32"/>
                <w:szCs w:val="32"/>
              </w:rPr>
              <w:t xml:space="preserve">       </w:t>
            </w:r>
            <w:r w:rsidR="00EC310A" w:rsidRPr="00DB5484">
              <w:rPr>
                <w:rFonts w:cs="Mangal"/>
                <w:b/>
                <w:bCs/>
                <w:i/>
                <w:iCs/>
                <w:sz w:val="32"/>
                <w:szCs w:val="32"/>
                <w:cs/>
              </w:rPr>
              <w:t>खबरदारी सूचना</w:t>
            </w:r>
          </w:p>
        </w:tc>
        <w:tc>
          <w:tcPr>
            <w:tcW w:w="3117" w:type="dxa"/>
            <w:shd w:val="clear" w:color="auto" w:fill="auto"/>
          </w:tcPr>
          <w:p w:rsidR="00382878" w:rsidRPr="00EC310A" w:rsidRDefault="00382878" w:rsidP="004171E2"/>
        </w:tc>
      </w:tr>
      <w:tr w:rsidR="00382878" w:rsidTr="004171E2">
        <w:tc>
          <w:tcPr>
            <w:tcW w:w="2405" w:type="dxa"/>
          </w:tcPr>
          <w:p w:rsidR="00382878" w:rsidRDefault="00382878" w:rsidP="004171E2"/>
        </w:tc>
        <w:tc>
          <w:tcPr>
            <w:tcW w:w="3828" w:type="dxa"/>
          </w:tcPr>
          <w:p w:rsidR="00382878" w:rsidRDefault="00382878" w:rsidP="004171E2"/>
        </w:tc>
        <w:tc>
          <w:tcPr>
            <w:tcW w:w="3117" w:type="dxa"/>
          </w:tcPr>
          <w:p w:rsidR="00382878" w:rsidRDefault="00382878" w:rsidP="004171E2"/>
        </w:tc>
      </w:tr>
      <w:tr w:rsidR="00382878" w:rsidTr="004171E2">
        <w:tc>
          <w:tcPr>
            <w:tcW w:w="9350" w:type="dxa"/>
            <w:gridSpan w:val="3"/>
          </w:tcPr>
          <w:p w:rsidR="00382878" w:rsidRPr="00DB5484" w:rsidRDefault="00EC310A" w:rsidP="00E91909">
            <w:pPr>
              <w:jc w:val="both"/>
              <w:rPr>
                <w:b/>
                <w:bCs/>
                <w:szCs w:val="22"/>
              </w:rPr>
            </w:pPr>
            <w:r w:rsidRPr="00DB5484">
              <w:rPr>
                <w:rFonts w:cs="Mangal"/>
                <w:b/>
                <w:bCs/>
                <w:szCs w:val="22"/>
                <w:cs/>
              </w:rPr>
              <w:t>याद्वारे सूचना देण्यात येत आहे की आमचे क्लायंट इंटर</w:t>
            </w:r>
            <w:r w:rsidR="00E91909">
              <w:rPr>
                <w:rFonts w:cs="Mangal"/>
                <w:b/>
                <w:bCs/>
                <w:szCs w:val="22"/>
                <w:cs/>
              </w:rPr>
              <w:t>नॅशनल क्रिकेट कौन्सिल लिमिटेड (</w:t>
            </w:r>
            <w:r w:rsidR="00E91909" w:rsidRPr="00DB5484">
              <w:rPr>
                <w:rFonts w:cs="Mangal"/>
                <w:b/>
                <w:bCs/>
                <w:szCs w:val="22"/>
                <w:cs/>
              </w:rPr>
              <w:t>आयसीसी</w:t>
            </w:r>
            <w:r w:rsidR="00E91909" w:rsidRPr="00DB5484">
              <w:rPr>
                <w:rFonts w:cs="Mangal"/>
                <w:b/>
                <w:bCs/>
                <w:szCs w:val="22"/>
              </w:rPr>
              <w:t xml:space="preserve"> </w:t>
            </w:r>
            <w:r w:rsidRPr="00DB5484">
              <w:rPr>
                <w:rFonts w:cs="Mangal"/>
                <w:b/>
                <w:bCs/>
                <w:szCs w:val="22"/>
              </w:rPr>
              <w:t xml:space="preserve">) </w:t>
            </w:r>
            <w:r w:rsidRPr="00DB5484">
              <w:rPr>
                <w:rFonts w:cs="Mangal"/>
                <w:b/>
                <w:bCs/>
                <w:szCs w:val="22"/>
                <w:cs/>
              </w:rPr>
              <w:t xml:space="preserve">त्यांच्या संपूर्ण मालकीच्या उपकंपनी </w:t>
            </w:r>
            <w:r w:rsidR="00E91909" w:rsidRPr="00DB5484">
              <w:rPr>
                <w:rFonts w:cs="Mangal"/>
                <w:b/>
                <w:bCs/>
                <w:szCs w:val="22"/>
                <w:cs/>
              </w:rPr>
              <w:t>आयसीसी</w:t>
            </w:r>
            <w:r w:rsidR="00DB5484" w:rsidRPr="00DB5484">
              <w:rPr>
                <w:rFonts w:cs="Mangal"/>
                <w:b/>
                <w:bCs/>
                <w:szCs w:val="22"/>
              </w:rPr>
              <w:t xml:space="preserve"> </w:t>
            </w:r>
            <w:r w:rsidR="00DB5484" w:rsidRPr="00DB5484">
              <w:rPr>
                <w:rFonts w:cs="Mangal"/>
                <w:b/>
                <w:bCs/>
                <w:szCs w:val="22"/>
                <w:cs/>
              </w:rPr>
              <w:t xml:space="preserve">बिझनेस कॉर्पोरेशन </w:t>
            </w:r>
            <w:r w:rsidR="00DB5484" w:rsidRPr="00DB5484">
              <w:rPr>
                <w:rFonts w:cs="Mangal"/>
                <w:b/>
                <w:bCs/>
                <w:szCs w:val="22"/>
              </w:rPr>
              <w:t xml:space="preserve">FZ LLC </w:t>
            </w:r>
            <w:r w:rsidRPr="00DB5484">
              <w:rPr>
                <w:rFonts w:cs="Mangal"/>
                <w:b/>
                <w:bCs/>
                <w:szCs w:val="22"/>
                <w:cs/>
              </w:rPr>
              <w:t>द्वारे</w:t>
            </w:r>
            <w:r w:rsidRPr="00DB5484">
              <w:rPr>
                <w:rFonts w:cs="Mangal"/>
                <w:b/>
                <w:bCs/>
                <w:szCs w:val="22"/>
              </w:rPr>
              <w:t xml:space="preserve">, </w:t>
            </w:r>
            <w:r w:rsidRPr="00DB5484">
              <w:rPr>
                <w:rFonts w:cs="Mangal"/>
                <w:b/>
                <w:bCs/>
                <w:szCs w:val="22"/>
                <w:cs/>
              </w:rPr>
              <w:t>खालील ट्रेडमार्कचे भारतातील आणि जागतिक स्तरावर अनन्य मालक आहेत:</w:t>
            </w:r>
          </w:p>
        </w:tc>
      </w:tr>
      <w:tr w:rsidR="00382878" w:rsidTr="004171E2">
        <w:tc>
          <w:tcPr>
            <w:tcW w:w="2405" w:type="dxa"/>
          </w:tcPr>
          <w:p w:rsidR="00382878" w:rsidRPr="00DB5484" w:rsidRDefault="002A43AC" w:rsidP="004171E2">
            <w:pPr>
              <w:rPr>
                <w:szCs w:val="22"/>
              </w:rPr>
            </w:pPr>
            <w:r w:rsidRPr="00B847A8">
              <w:rPr>
                <w:rFonts w:ascii="Times New Roman" w:hAnsi="Times New Roman" w:cs="Times New Roman"/>
                <w:noProof/>
                <w:sz w:val="20"/>
              </w:rPr>
              <w:drawing>
                <wp:anchor distT="0" distB="0" distL="114300" distR="114300" simplePos="0" relativeHeight="251659264" behindDoc="0" locked="0" layoutInCell="1" allowOverlap="1" wp14:anchorId="750B35B3" wp14:editId="4A180878">
                  <wp:simplePos x="0" y="0"/>
                  <wp:positionH relativeFrom="column">
                    <wp:posOffset>220345</wp:posOffset>
                  </wp:positionH>
                  <wp:positionV relativeFrom="paragraph">
                    <wp:posOffset>207645</wp:posOffset>
                  </wp:positionV>
                  <wp:extent cx="1228725" cy="1041400"/>
                  <wp:effectExtent l="0" t="0" r="9525" b="6350"/>
                  <wp:wrapThrough wrapText="bothSides">
                    <wp:wrapPolygon edited="0">
                      <wp:start x="0" y="0"/>
                      <wp:lineTo x="0" y="21337"/>
                      <wp:lineTo x="21433" y="21337"/>
                      <wp:lineTo x="214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tcPr>
          <w:p w:rsidR="002A43AC" w:rsidRDefault="002A43AC" w:rsidP="004171E2">
            <w:pPr>
              <w:rPr>
                <w:b/>
                <w:bCs/>
                <w:szCs w:val="22"/>
              </w:rPr>
            </w:pPr>
          </w:p>
          <w:p w:rsidR="002A43AC" w:rsidRDefault="002A43AC" w:rsidP="002A43AC">
            <w:pPr>
              <w:rPr>
                <w:szCs w:val="22"/>
              </w:rPr>
            </w:pPr>
            <w:r>
              <w:rPr>
                <w:rFonts w:ascii="Times New Roman" w:hAnsi="Times New Roman" w:cs="Times New Roman"/>
                <w:noProof/>
                <w:color w:val="000000"/>
                <w:sz w:val="20"/>
              </w:rPr>
              <w:drawing>
                <wp:anchor distT="0" distB="0" distL="114300" distR="114300" simplePos="0" relativeHeight="251661312" behindDoc="0" locked="0" layoutInCell="1" allowOverlap="1" wp14:anchorId="2FFEEF3E" wp14:editId="622CF975">
                  <wp:simplePos x="0" y="0"/>
                  <wp:positionH relativeFrom="margin">
                    <wp:posOffset>701675</wp:posOffset>
                  </wp:positionH>
                  <wp:positionV relativeFrom="paragraph">
                    <wp:posOffset>169545</wp:posOffset>
                  </wp:positionV>
                  <wp:extent cx="781050" cy="955040"/>
                  <wp:effectExtent l="0" t="0" r="0" b="0"/>
                  <wp:wrapThrough wrapText="bothSides">
                    <wp:wrapPolygon edited="0">
                      <wp:start x="0" y="0"/>
                      <wp:lineTo x="0" y="21112"/>
                      <wp:lineTo x="21073" y="21112"/>
                      <wp:lineTo x="210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3AC" w:rsidRDefault="002A43AC" w:rsidP="002A43AC">
            <w:pPr>
              <w:rPr>
                <w:szCs w:val="22"/>
              </w:rPr>
            </w:pPr>
          </w:p>
          <w:p w:rsidR="00382878" w:rsidRPr="002A43AC" w:rsidRDefault="00382878" w:rsidP="002A43AC">
            <w:pPr>
              <w:jc w:val="right"/>
              <w:rPr>
                <w:szCs w:val="22"/>
              </w:rPr>
            </w:pPr>
          </w:p>
        </w:tc>
        <w:tc>
          <w:tcPr>
            <w:tcW w:w="3117" w:type="dxa"/>
          </w:tcPr>
          <w:p w:rsidR="00382878" w:rsidRPr="00DB5484" w:rsidRDefault="002A43AC" w:rsidP="004171E2">
            <w:pPr>
              <w:rPr>
                <w:b/>
                <w:bCs/>
                <w:szCs w:val="22"/>
              </w:rPr>
            </w:pPr>
            <w:r>
              <w:rPr>
                <w:rFonts w:ascii="Times New Roman" w:hAnsi="Times New Roman" w:cs="Times New Roman"/>
                <w:noProof/>
                <w:sz w:val="20"/>
              </w:rPr>
              <w:drawing>
                <wp:anchor distT="0" distB="0" distL="114300" distR="114300" simplePos="0" relativeHeight="251663360" behindDoc="0" locked="0" layoutInCell="1" allowOverlap="1" wp14:anchorId="7C4E7E2A" wp14:editId="6A4B1AD3">
                  <wp:simplePos x="0" y="0"/>
                  <wp:positionH relativeFrom="margin">
                    <wp:posOffset>-68580</wp:posOffset>
                  </wp:positionH>
                  <wp:positionV relativeFrom="paragraph">
                    <wp:posOffset>508000</wp:posOffset>
                  </wp:positionV>
                  <wp:extent cx="2222338" cy="647700"/>
                  <wp:effectExtent l="0" t="0" r="6985" b="0"/>
                  <wp:wrapThrough wrapText="bothSides">
                    <wp:wrapPolygon edited="0">
                      <wp:start x="0" y="0"/>
                      <wp:lineTo x="0" y="20965"/>
                      <wp:lineTo x="21483" y="20965"/>
                      <wp:lineTo x="2148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338"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2878" w:rsidTr="004171E2">
        <w:tc>
          <w:tcPr>
            <w:tcW w:w="2405" w:type="dxa"/>
          </w:tcPr>
          <w:p w:rsidR="00382878" w:rsidRPr="00DB5484" w:rsidRDefault="00382878" w:rsidP="004171E2">
            <w:pPr>
              <w:rPr>
                <w:szCs w:val="22"/>
              </w:rPr>
            </w:pPr>
          </w:p>
        </w:tc>
        <w:tc>
          <w:tcPr>
            <w:tcW w:w="3828" w:type="dxa"/>
          </w:tcPr>
          <w:p w:rsidR="00382878" w:rsidRPr="00DB5484" w:rsidRDefault="00382878" w:rsidP="004171E2">
            <w:pPr>
              <w:rPr>
                <w:b/>
                <w:bCs/>
                <w:szCs w:val="22"/>
              </w:rPr>
            </w:pPr>
          </w:p>
        </w:tc>
        <w:tc>
          <w:tcPr>
            <w:tcW w:w="3117" w:type="dxa"/>
          </w:tcPr>
          <w:p w:rsidR="00382878" w:rsidRPr="00DB5484" w:rsidRDefault="00382878" w:rsidP="004171E2">
            <w:pPr>
              <w:rPr>
                <w:b/>
                <w:bCs/>
                <w:szCs w:val="22"/>
              </w:rPr>
            </w:pPr>
          </w:p>
        </w:tc>
      </w:tr>
      <w:tr w:rsidR="00382878" w:rsidTr="004171E2">
        <w:tc>
          <w:tcPr>
            <w:tcW w:w="2405" w:type="dxa"/>
          </w:tcPr>
          <w:p w:rsidR="00382878" w:rsidRPr="002A43AC" w:rsidRDefault="002A43AC" w:rsidP="004171E2">
            <w:pPr>
              <w:rPr>
                <w:b/>
                <w:bCs/>
                <w:szCs w:val="22"/>
              </w:rPr>
            </w:pPr>
            <w:r w:rsidRPr="002A43AC">
              <w:rPr>
                <w:rFonts w:ascii="Times New Roman" w:hAnsi="Times New Roman" w:cs="Times New Roman"/>
                <w:b/>
                <w:bCs/>
                <w:iCs/>
                <w:color w:val="000000"/>
                <w:szCs w:val="22"/>
              </w:rPr>
              <w:t>ICC WORLD CUP</w:t>
            </w:r>
          </w:p>
        </w:tc>
        <w:tc>
          <w:tcPr>
            <w:tcW w:w="3828" w:type="dxa"/>
          </w:tcPr>
          <w:p w:rsidR="00382878" w:rsidRPr="00DB5484" w:rsidRDefault="00382878" w:rsidP="004171E2">
            <w:pPr>
              <w:rPr>
                <w:b/>
                <w:bCs/>
                <w:szCs w:val="22"/>
              </w:rPr>
            </w:pPr>
          </w:p>
        </w:tc>
        <w:tc>
          <w:tcPr>
            <w:tcW w:w="3117" w:type="dxa"/>
          </w:tcPr>
          <w:p w:rsidR="00382878" w:rsidRPr="002A43AC" w:rsidRDefault="002A43AC" w:rsidP="004171E2">
            <w:pPr>
              <w:rPr>
                <w:b/>
                <w:bCs/>
                <w:sz w:val="24"/>
                <w:szCs w:val="24"/>
              </w:rPr>
            </w:pPr>
            <w:r w:rsidRPr="002A43AC">
              <w:rPr>
                <w:rFonts w:ascii="Times New Roman" w:hAnsi="Times New Roman" w:cs="Times New Roman"/>
                <w:b/>
                <w:bCs/>
                <w:iCs/>
                <w:color w:val="000000"/>
                <w:sz w:val="24"/>
                <w:szCs w:val="24"/>
              </w:rPr>
              <w:t>ICC CRICKET WORLD CUP</w:t>
            </w:r>
            <w:r w:rsidRPr="002A43AC">
              <w:rPr>
                <w:b/>
                <w:bCs/>
                <w:sz w:val="24"/>
                <w:szCs w:val="24"/>
              </w:rPr>
              <w:t xml:space="preserve"> </w:t>
            </w:r>
          </w:p>
        </w:tc>
      </w:tr>
      <w:tr w:rsidR="00382878" w:rsidTr="004171E2">
        <w:tc>
          <w:tcPr>
            <w:tcW w:w="9350" w:type="dxa"/>
            <w:gridSpan w:val="3"/>
          </w:tcPr>
          <w:p w:rsidR="002A43AC" w:rsidRDefault="002A43AC" w:rsidP="004171E2">
            <w:pPr>
              <w:jc w:val="both"/>
              <w:rPr>
                <w:rFonts w:cs="Mangal"/>
                <w:b/>
                <w:bCs/>
                <w:szCs w:val="22"/>
                <w:cs/>
              </w:rPr>
            </w:pPr>
          </w:p>
          <w:p w:rsidR="002A43AC" w:rsidRDefault="002A43AC" w:rsidP="004171E2">
            <w:pPr>
              <w:jc w:val="both"/>
              <w:rPr>
                <w:rFonts w:cs="Mangal"/>
                <w:b/>
                <w:bCs/>
                <w:szCs w:val="22"/>
                <w:cs/>
              </w:rPr>
            </w:pPr>
          </w:p>
          <w:p w:rsidR="00382878" w:rsidRPr="00DB5484" w:rsidRDefault="00EC310A" w:rsidP="004171E2">
            <w:pPr>
              <w:jc w:val="both"/>
              <w:rPr>
                <w:b/>
                <w:bCs/>
                <w:szCs w:val="22"/>
              </w:rPr>
            </w:pPr>
            <w:bookmarkStart w:id="0" w:name="_GoBack"/>
            <w:bookmarkEnd w:id="0"/>
            <w:r w:rsidRPr="00DB5484">
              <w:rPr>
                <w:rFonts w:cs="Mangal"/>
                <w:b/>
                <w:bCs/>
                <w:szCs w:val="22"/>
                <w:cs/>
              </w:rPr>
              <w:t>वरील ट्रेडमार्क भारतात नोंदणीकृत आहेत आणि ते भारतातील 5 ऑक्‍टोबर ते 19 नोव्हेंबर 2023 या कालावधीत आयसीसी पुरुष क्रिकेट विश्वचषकाच्या संदर्भात</w:t>
            </w:r>
            <w:r w:rsidRPr="00DB5484">
              <w:rPr>
                <w:rFonts w:cs="Mangal"/>
                <w:b/>
                <w:bCs/>
                <w:szCs w:val="22"/>
              </w:rPr>
              <w:t xml:space="preserve">, </w:t>
            </w:r>
            <w:r w:rsidRPr="00DB5484">
              <w:rPr>
                <w:rFonts w:cs="Mangal"/>
                <w:b/>
                <w:bCs/>
                <w:szCs w:val="22"/>
                <w:cs/>
              </w:rPr>
              <w:t>आमचे ग्राहक आणि त्यांचे खास नियुक्त अधिकृत प्रायोजक आणि परवानाधारकांद्वारे वापरले जात आहेत.</w:t>
            </w:r>
          </w:p>
        </w:tc>
      </w:tr>
      <w:tr w:rsidR="00382878" w:rsidTr="004171E2">
        <w:tc>
          <w:tcPr>
            <w:tcW w:w="2405" w:type="dxa"/>
          </w:tcPr>
          <w:p w:rsidR="00382878" w:rsidRPr="00DB5484" w:rsidRDefault="00382878" w:rsidP="004171E2">
            <w:pPr>
              <w:rPr>
                <w:szCs w:val="22"/>
              </w:rPr>
            </w:pPr>
          </w:p>
        </w:tc>
        <w:tc>
          <w:tcPr>
            <w:tcW w:w="3828" w:type="dxa"/>
          </w:tcPr>
          <w:p w:rsidR="00382878" w:rsidRPr="00DB5484" w:rsidRDefault="00382878" w:rsidP="004171E2">
            <w:pPr>
              <w:rPr>
                <w:b/>
                <w:bCs/>
                <w:szCs w:val="22"/>
              </w:rPr>
            </w:pPr>
          </w:p>
        </w:tc>
        <w:tc>
          <w:tcPr>
            <w:tcW w:w="3117" w:type="dxa"/>
          </w:tcPr>
          <w:p w:rsidR="00382878" w:rsidRPr="00DB5484" w:rsidRDefault="00382878" w:rsidP="004171E2">
            <w:pPr>
              <w:rPr>
                <w:b/>
                <w:bCs/>
                <w:szCs w:val="22"/>
              </w:rPr>
            </w:pPr>
          </w:p>
        </w:tc>
      </w:tr>
      <w:tr w:rsidR="00382878" w:rsidTr="004171E2">
        <w:tc>
          <w:tcPr>
            <w:tcW w:w="9350" w:type="dxa"/>
            <w:gridSpan w:val="3"/>
          </w:tcPr>
          <w:p w:rsidR="00382878" w:rsidRPr="00DB5484" w:rsidRDefault="00765009" w:rsidP="004171E2">
            <w:pPr>
              <w:jc w:val="both"/>
              <w:rPr>
                <w:b/>
                <w:bCs/>
                <w:szCs w:val="22"/>
              </w:rPr>
            </w:pPr>
            <w:r w:rsidRPr="00DB5484">
              <w:rPr>
                <w:rFonts w:cs="Mangal"/>
                <w:b/>
                <w:bCs/>
                <w:szCs w:val="22"/>
                <w:cs/>
              </w:rPr>
              <w:t>याद्वारे सूचना दिली जाते की आमचे क्लायंट भारतातील वरील ट्रेडमार्कच्या संदर्भात सर्व हक्कांचा दावा करतात आणि प्रचलित युएसपीच्या अनुषंगाने योग्य कायदेशीर कारवाई सुरू करतील उपरोक्त ट्रेडमार्क किंवा इतर कोणतेही ट्रेडमार्क फसवे किंवा गोंधळात टाकणारे त्यासारखेच किंवा आमच्या क्लायंटचे कोणतेही इतर आयपीआर</w:t>
            </w:r>
            <w:r w:rsidRPr="00DB5484">
              <w:rPr>
                <w:rFonts w:cs="Mangal"/>
                <w:b/>
                <w:bCs/>
                <w:szCs w:val="22"/>
              </w:rPr>
              <w:t xml:space="preserve">, </w:t>
            </w:r>
            <w:r w:rsidRPr="00DB5484">
              <w:rPr>
                <w:rFonts w:cs="Mangal"/>
                <w:b/>
                <w:bCs/>
                <w:szCs w:val="22"/>
                <w:cs/>
              </w:rPr>
              <w:t>त्यांच्या अधिकारांचे उल्लंघन करून. अशी कृत्ये वैधानिक तरतुदींच्या अंतर्गत नागरी आणि फौजदारी उत्तरदायित्व आकर्षित करतात.</w:t>
            </w:r>
          </w:p>
        </w:tc>
      </w:tr>
      <w:tr w:rsidR="00382878" w:rsidTr="004171E2">
        <w:tc>
          <w:tcPr>
            <w:tcW w:w="2405" w:type="dxa"/>
          </w:tcPr>
          <w:p w:rsidR="00382878" w:rsidRPr="00DB5484" w:rsidRDefault="00382878" w:rsidP="004171E2">
            <w:pPr>
              <w:rPr>
                <w:szCs w:val="22"/>
              </w:rPr>
            </w:pPr>
          </w:p>
        </w:tc>
        <w:tc>
          <w:tcPr>
            <w:tcW w:w="3828" w:type="dxa"/>
          </w:tcPr>
          <w:p w:rsidR="00382878" w:rsidRPr="00DB5484" w:rsidRDefault="00382878" w:rsidP="004171E2">
            <w:pPr>
              <w:rPr>
                <w:b/>
                <w:bCs/>
                <w:szCs w:val="22"/>
              </w:rPr>
            </w:pPr>
          </w:p>
        </w:tc>
        <w:tc>
          <w:tcPr>
            <w:tcW w:w="3117" w:type="dxa"/>
          </w:tcPr>
          <w:p w:rsidR="00382878" w:rsidRPr="00DB5484" w:rsidRDefault="00382878" w:rsidP="004171E2">
            <w:pPr>
              <w:rPr>
                <w:b/>
                <w:bCs/>
                <w:szCs w:val="22"/>
              </w:rPr>
            </w:pPr>
          </w:p>
        </w:tc>
      </w:tr>
      <w:tr w:rsidR="00382878" w:rsidTr="004171E2">
        <w:tc>
          <w:tcPr>
            <w:tcW w:w="9350" w:type="dxa"/>
            <w:gridSpan w:val="3"/>
          </w:tcPr>
          <w:p w:rsidR="00382878" w:rsidRPr="00DB5484" w:rsidRDefault="00765009" w:rsidP="004171E2">
            <w:pPr>
              <w:rPr>
                <w:b/>
                <w:bCs/>
                <w:szCs w:val="22"/>
              </w:rPr>
            </w:pPr>
            <w:r w:rsidRPr="00DB5484">
              <w:rPr>
                <w:rFonts w:cs="Mangal"/>
                <w:b/>
                <w:bCs/>
                <w:szCs w:val="22"/>
                <w:cs/>
              </w:rPr>
              <w:t>आंतरराष्ट्रीय क्रिकेट परिषद लिमिटेड ("</w:t>
            </w:r>
            <w:r w:rsidR="0018660F" w:rsidRPr="00DB5484">
              <w:rPr>
                <w:rFonts w:cs="Mangal"/>
                <w:b/>
                <w:bCs/>
                <w:szCs w:val="22"/>
                <w:cs/>
              </w:rPr>
              <w:t>आयसीसी</w:t>
            </w:r>
            <w:r w:rsidR="0018660F" w:rsidRPr="00DB5484">
              <w:rPr>
                <w:rFonts w:cs="Mangal"/>
                <w:b/>
                <w:bCs/>
                <w:szCs w:val="22"/>
              </w:rPr>
              <w:t xml:space="preserve"> </w:t>
            </w:r>
            <w:r w:rsidRPr="00DB5484">
              <w:rPr>
                <w:rFonts w:cs="Mangal"/>
                <w:b/>
                <w:bCs/>
                <w:szCs w:val="22"/>
              </w:rPr>
              <w:t xml:space="preserve">") </w:t>
            </w:r>
            <w:r w:rsidRPr="00DB5484">
              <w:rPr>
                <w:rFonts w:cs="Mangal"/>
                <w:b/>
                <w:bCs/>
                <w:szCs w:val="22"/>
                <w:cs/>
              </w:rPr>
              <w:t>द्वारे</w:t>
            </w:r>
          </w:p>
        </w:tc>
      </w:tr>
      <w:tr w:rsidR="00382878" w:rsidTr="004171E2">
        <w:tc>
          <w:tcPr>
            <w:tcW w:w="2405" w:type="dxa"/>
          </w:tcPr>
          <w:p w:rsidR="00382878" w:rsidRPr="00DB5484" w:rsidRDefault="00382878" w:rsidP="004171E2"/>
        </w:tc>
        <w:tc>
          <w:tcPr>
            <w:tcW w:w="3828" w:type="dxa"/>
          </w:tcPr>
          <w:p w:rsidR="00382878" w:rsidRPr="00DB5484" w:rsidRDefault="00382878" w:rsidP="004171E2"/>
        </w:tc>
        <w:tc>
          <w:tcPr>
            <w:tcW w:w="3117" w:type="dxa"/>
          </w:tcPr>
          <w:p w:rsidR="00382878" w:rsidRPr="00DB5484" w:rsidRDefault="00382878" w:rsidP="004171E2"/>
        </w:tc>
      </w:tr>
      <w:tr w:rsidR="00382878" w:rsidTr="004171E2">
        <w:tc>
          <w:tcPr>
            <w:tcW w:w="9350" w:type="dxa"/>
            <w:gridSpan w:val="3"/>
          </w:tcPr>
          <w:p w:rsidR="00765009" w:rsidRPr="00DB5484" w:rsidRDefault="00765009" w:rsidP="00765009">
            <w:pPr>
              <w:jc w:val="center"/>
              <w:rPr>
                <w:rFonts w:cs="Mangal"/>
                <w:b/>
                <w:bCs/>
                <w:sz w:val="32"/>
                <w:szCs w:val="32"/>
              </w:rPr>
            </w:pPr>
            <w:r w:rsidRPr="00DB5484">
              <w:rPr>
                <w:rFonts w:cs="Mangal"/>
                <w:b/>
                <w:bCs/>
                <w:sz w:val="32"/>
                <w:szCs w:val="32"/>
                <w:cs/>
              </w:rPr>
              <w:t>सेन-ओबेरॉय</w:t>
            </w:r>
          </w:p>
          <w:p w:rsidR="00765009" w:rsidRPr="00DB5484" w:rsidRDefault="00765009" w:rsidP="00765009">
            <w:pPr>
              <w:jc w:val="center"/>
              <w:rPr>
                <w:rFonts w:cs="Mangal"/>
                <w:b/>
                <w:bCs/>
                <w:sz w:val="24"/>
                <w:szCs w:val="24"/>
              </w:rPr>
            </w:pPr>
            <w:r w:rsidRPr="00DB5484">
              <w:rPr>
                <w:rFonts w:cs="Mangal"/>
                <w:b/>
                <w:bCs/>
                <w:sz w:val="24"/>
                <w:szCs w:val="24"/>
                <w:cs/>
              </w:rPr>
              <w:t>कायदा वकील</w:t>
            </w:r>
          </w:p>
          <w:p w:rsidR="00765009" w:rsidRPr="00DB5484" w:rsidRDefault="00765009" w:rsidP="00765009">
            <w:pPr>
              <w:jc w:val="center"/>
              <w:rPr>
                <w:rFonts w:cs="Mangal"/>
                <w:b/>
                <w:bCs/>
                <w:sz w:val="24"/>
                <w:szCs w:val="24"/>
              </w:rPr>
            </w:pPr>
            <w:r w:rsidRPr="00DB5484">
              <w:rPr>
                <w:rFonts w:cs="Mangal"/>
                <w:b/>
                <w:bCs/>
                <w:sz w:val="24"/>
                <w:szCs w:val="24"/>
                <w:cs/>
              </w:rPr>
              <w:t>ए-18</w:t>
            </w:r>
            <w:r w:rsidRPr="00DB5484">
              <w:rPr>
                <w:rFonts w:cs="Mangal"/>
                <w:b/>
                <w:bCs/>
                <w:sz w:val="24"/>
                <w:szCs w:val="24"/>
              </w:rPr>
              <w:t xml:space="preserve">, </w:t>
            </w:r>
            <w:r w:rsidRPr="00DB5484">
              <w:rPr>
                <w:rFonts w:cs="Mangal"/>
                <w:b/>
                <w:bCs/>
                <w:sz w:val="24"/>
                <w:szCs w:val="24"/>
                <w:cs/>
              </w:rPr>
              <w:t>चितरंज पार्क</w:t>
            </w:r>
            <w:r w:rsidRPr="00DB5484">
              <w:rPr>
                <w:rFonts w:cs="Mangal"/>
                <w:b/>
                <w:bCs/>
                <w:sz w:val="24"/>
                <w:szCs w:val="24"/>
              </w:rPr>
              <w:t xml:space="preserve">, </w:t>
            </w:r>
            <w:r w:rsidRPr="00DB5484">
              <w:rPr>
                <w:rFonts w:cs="Mangal"/>
                <w:b/>
                <w:bCs/>
                <w:sz w:val="24"/>
                <w:szCs w:val="24"/>
                <w:cs/>
              </w:rPr>
              <w:t>नवी दिल्ली 110 019</w:t>
            </w:r>
            <w:r w:rsidRPr="00DB5484">
              <w:rPr>
                <w:rFonts w:cs="Mangal"/>
                <w:b/>
                <w:bCs/>
                <w:sz w:val="24"/>
                <w:szCs w:val="24"/>
              </w:rPr>
              <w:t xml:space="preserve">, </w:t>
            </w:r>
            <w:r w:rsidRPr="00DB5484">
              <w:rPr>
                <w:rFonts w:cs="Mangal"/>
                <w:b/>
                <w:bCs/>
                <w:sz w:val="24"/>
                <w:szCs w:val="24"/>
                <w:cs/>
              </w:rPr>
              <w:t>भारत</w:t>
            </w:r>
          </w:p>
          <w:p w:rsidR="00765009" w:rsidRPr="00DB5484" w:rsidRDefault="00765009" w:rsidP="00765009">
            <w:pPr>
              <w:jc w:val="center"/>
              <w:rPr>
                <w:rFonts w:cs="Mangal"/>
                <w:b/>
                <w:bCs/>
                <w:sz w:val="24"/>
                <w:szCs w:val="24"/>
              </w:rPr>
            </w:pPr>
            <w:r w:rsidRPr="00DB5484">
              <w:rPr>
                <w:rFonts w:cs="Mangal"/>
                <w:b/>
                <w:bCs/>
                <w:sz w:val="24"/>
                <w:szCs w:val="24"/>
                <w:cs/>
              </w:rPr>
              <w:t>फोन: (91 11) 2627-1755</w:t>
            </w:r>
            <w:r w:rsidRPr="00DB5484">
              <w:rPr>
                <w:rFonts w:cs="Mangal"/>
                <w:b/>
                <w:bCs/>
                <w:sz w:val="24"/>
                <w:szCs w:val="24"/>
              </w:rPr>
              <w:t xml:space="preserve">, </w:t>
            </w:r>
            <w:r w:rsidRPr="00DB5484">
              <w:rPr>
                <w:rFonts w:cs="Mangal"/>
                <w:b/>
                <w:bCs/>
                <w:sz w:val="24"/>
                <w:szCs w:val="24"/>
                <w:cs/>
              </w:rPr>
              <w:t>2627-3230</w:t>
            </w:r>
            <w:r w:rsidRPr="00DB5484">
              <w:rPr>
                <w:rFonts w:cs="Mangal"/>
                <w:b/>
                <w:bCs/>
                <w:sz w:val="24"/>
                <w:szCs w:val="24"/>
              </w:rPr>
              <w:t xml:space="preserve">, </w:t>
            </w:r>
            <w:r w:rsidRPr="00DB5484">
              <w:rPr>
                <w:rFonts w:cs="Mangal"/>
                <w:b/>
                <w:bCs/>
                <w:sz w:val="24"/>
                <w:szCs w:val="24"/>
                <w:cs/>
              </w:rPr>
              <w:t>4160-2150</w:t>
            </w:r>
          </w:p>
          <w:p w:rsidR="00765009" w:rsidRPr="00DB5484" w:rsidRDefault="00765009" w:rsidP="00765009">
            <w:pPr>
              <w:jc w:val="center"/>
              <w:rPr>
                <w:rFonts w:cs="Mangal"/>
                <w:b/>
                <w:bCs/>
                <w:sz w:val="24"/>
                <w:szCs w:val="24"/>
              </w:rPr>
            </w:pPr>
            <w:r w:rsidRPr="00DB5484">
              <w:rPr>
                <w:rFonts w:cs="Mangal"/>
                <w:b/>
                <w:bCs/>
                <w:sz w:val="24"/>
                <w:szCs w:val="24"/>
                <w:cs/>
              </w:rPr>
              <w:t>मोबाइल (डाहलिया सेन ओबेरॉय): 919811117616</w:t>
            </w:r>
          </w:p>
          <w:p w:rsidR="00382878" w:rsidRPr="00DB5484" w:rsidRDefault="00765009" w:rsidP="00765009">
            <w:pPr>
              <w:jc w:val="center"/>
              <w:rPr>
                <w:b/>
                <w:bCs/>
              </w:rPr>
            </w:pPr>
            <w:r w:rsidRPr="00DB5484">
              <w:rPr>
                <w:rFonts w:cs="Mangal"/>
                <w:b/>
                <w:bCs/>
                <w:sz w:val="24"/>
                <w:szCs w:val="24"/>
                <w:cs/>
              </w:rPr>
              <w:t xml:space="preserve">ई-मेल: </w:t>
            </w:r>
            <w:r w:rsidRPr="00DB5484">
              <w:rPr>
                <w:rFonts w:cs="Mangal"/>
                <w:b/>
                <w:bCs/>
                <w:sz w:val="24"/>
                <w:szCs w:val="24"/>
              </w:rPr>
              <w:t>dallia@sen-oberol.com</w:t>
            </w:r>
          </w:p>
        </w:tc>
      </w:tr>
      <w:tr w:rsidR="00382878" w:rsidTr="004171E2">
        <w:tc>
          <w:tcPr>
            <w:tcW w:w="2405" w:type="dxa"/>
          </w:tcPr>
          <w:p w:rsidR="00382878" w:rsidRDefault="00382878" w:rsidP="004171E2"/>
        </w:tc>
        <w:tc>
          <w:tcPr>
            <w:tcW w:w="3828" w:type="dxa"/>
          </w:tcPr>
          <w:p w:rsidR="00382878" w:rsidRDefault="00382878" w:rsidP="004171E2"/>
        </w:tc>
        <w:tc>
          <w:tcPr>
            <w:tcW w:w="3117" w:type="dxa"/>
          </w:tcPr>
          <w:p w:rsidR="00382878" w:rsidRDefault="00382878" w:rsidP="004171E2"/>
        </w:tc>
      </w:tr>
    </w:tbl>
    <w:p w:rsidR="006C69F2" w:rsidRDefault="006C69F2"/>
    <w:sectPr w:rsidR="006C69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78"/>
    <w:rsid w:val="0018660F"/>
    <w:rsid w:val="002A43AC"/>
    <w:rsid w:val="00382878"/>
    <w:rsid w:val="006C69F2"/>
    <w:rsid w:val="00765009"/>
    <w:rsid w:val="00DB5484"/>
    <w:rsid w:val="00E91909"/>
    <w:rsid w:val="00EC310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16071-BE03-4611-A24E-914E8112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Virender Rana</cp:lastModifiedBy>
  <cp:revision>8</cp:revision>
  <dcterms:created xsi:type="dcterms:W3CDTF">2023-10-13T17:42:00Z</dcterms:created>
  <dcterms:modified xsi:type="dcterms:W3CDTF">2023-10-14T07:05:00Z</dcterms:modified>
</cp:coreProperties>
</file>