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0"/>
        <w:gridCol w:w="3684"/>
        <w:gridCol w:w="3306"/>
      </w:tblGrid>
      <w:tr w:rsidR="004F35CE" w:rsidTr="001453AC">
        <w:tc>
          <w:tcPr>
            <w:tcW w:w="2405" w:type="dxa"/>
            <w:shd w:val="clear" w:color="auto" w:fill="FF0000"/>
          </w:tcPr>
          <w:p w:rsidR="004F35CE" w:rsidRPr="001453AC" w:rsidRDefault="004F35CE">
            <w:pPr>
              <w:rPr>
                <w:color w:val="FF0000"/>
              </w:rPr>
            </w:pPr>
          </w:p>
        </w:tc>
        <w:tc>
          <w:tcPr>
            <w:tcW w:w="3828" w:type="dxa"/>
            <w:shd w:val="clear" w:color="auto" w:fill="FF0000"/>
          </w:tcPr>
          <w:p w:rsidR="004F35CE" w:rsidRPr="001453AC" w:rsidRDefault="001453AC" w:rsidP="004F35CE">
            <w:pPr>
              <w:jc w:val="center"/>
              <w:rPr>
                <w:b/>
                <w:bCs/>
                <w:color w:val="FF0000"/>
                <w:sz w:val="32"/>
                <w:szCs w:val="32"/>
              </w:rPr>
            </w:pPr>
            <w:r>
              <w:rPr>
                <w:rFonts w:cs="Mangal"/>
                <w:b/>
                <w:bCs/>
                <w:color w:val="FFFFFF" w:themeColor="background1"/>
                <w:sz w:val="32"/>
                <w:szCs w:val="32"/>
              </w:rPr>
              <w:t xml:space="preserve">       </w:t>
            </w:r>
            <w:r w:rsidR="004F35CE" w:rsidRPr="001453AC">
              <w:rPr>
                <w:rFonts w:cs="Mangal"/>
                <w:b/>
                <w:bCs/>
                <w:color w:val="FFFFFF" w:themeColor="background1"/>
                <w:sz w:val="32"/>
                <w:szCs w:val="32"/>
                <w:cs/>
              </w:rPr>
              <w:t>सावधानी सूचना</w:t>
            </w:r>
          </w:p>
        </w:tc>
        <w:tc>
          <w:tcPr>
            <w:tcW w:w="3117" w:type="dxa"/>
            <w:shd w:val="clear" w:color="auto" w:fill="FF0000"/>
          </w:tcPr>
          <w:p w:rsidR="004F35CE" w:rsidRPr="001453AC" w:rsidRDefault="004F35CE">
            <w:pPr>
              <w:rPr>
                <w:color w:val="FF0000"/>
              </w:rPr>
            </w:pPr>
          </w:p>
        </w:tc>
      </w:tr>
      <w:tr w:rsidR="004F35CE" w:rsidTr="001453AC">
        <w:tc>
          <w:tcPr>
            <w:tcW w:w="2405" w:type="dxa"/>
          </w:tcPr>
          <w:p w:rsidR="004F35CE" w:rsidRDefault="004F35CE"/>
        </w:tc>
        <w:tc>
          <w:tcPr>
            <w:tcW w:w="3828" w:type="dxa"/>
          </w:tcPr>
          <w:p w:rsidR="004F35CE" w:rsidRDefault="004F35CE"/>
        </w:tc>
        <w:tc>
          <w:tcPr>
            <w:tcW w:w="3117" w:type="dxa"/>
          </w:tcPr>
          <w:p w:rsidR="004F35CE" w:rsidRDefault="004F35CE"/>
        </w:tc>
      </w:tr>
      <w:tr w:rsidR="004F35CE" w:rsidTr="001453AC">
        <w:tc>
          <w:tcPr>
            <w:tcW w:w="9350" w:type="dxa"/>
            <w:gridSpan w:val="3"/>
          </w:tcPr>
          <w:p w:rsidR="004F35CE" w:rsidRPr="001453AC" w:rsidRDefault="004F35CE">
            <w:pPr>
              <w:rPr>
                <w:b/>
                <w:bCs/>
              </w:rPr>
            </w:pPr>
            <w:r w:rsidRPr="001453AC">
              <w:rPr>
                <w:rFonts w:cs="Mangal"/>
                <w:b/>
                <w:bCs/>
                <w:cs/>
              </w:rPr>
              <w:t>इसके द्वारा सूचना दी जाती है कि हमारा ग्राहक इंटरनेशनल क्रिकेट काउंसिल लिमिटेड ("आईसीसी")</w:t>
            </w:r>
            <w:r w:rsidRPr="001453AC">
              <w:rPr>
                <w:b/>
                <w:bCs/>
              </w:rPr>
              <w:t xml:space="preserve">, </w:t>
            </w:r>
            <w:r w:rsidRPr="001453AC">
              <w:rPr>
                <w:rFonts w:cs="Mangal"/>
                <w:b/>
                <w:bCs/>
                <w:cs/>
              </w:rPr>
              <w:t>अपनी पूर्ण स्वामित्व वाली सहायक कंपनी आईसीसी बिजनेस कॉर्पोरेशन एफजेड एलएलसी के माध्यम से</w:t>
            </w:r>
            <w:r w:rsidRPr="001453AC">
              <w:rPr>
                <w:b/>
                <w:bCs/>
              </w:rPr>
              <w:t xml:space="preserve">, </w:t>
            </w:r>
            <w:r w:rsidRPr="001453AC">
              <w:rPr>
                <w:rFonts w:cs="Mangal"/>
                <w:b/>
                <w:bCs/>
                <w:cs/>
              </w:rPr>
              <w:t>भारत और विश्व स्तर पर निम्नलिखित ट्रेडमार्क का विशेष मालिक है:</w:t>
            </w:r>
          </w:p>
        </w:tc>
      </w:tr>
      <w:tr w:rsidR="004F35CE" w:rsidTr="001453AC">
        <w:tc>
          <w:tcPr>
            <w:tcW w:w="2405" w:type="dxa"/>
          </w:tcPr>
          <w:p w:rsidR="004F35CE" w:rsidRDefault="00605D84">
            <w:r w:rsidRPr="00B847A8">
              <w:rPr>
                <w:rFonts w:ascii="Times New Roman" w:hAnsi="Times New Roman" w:cs="Times New Roman"/>
                <w:noProof/>
                <w:sz w:val="20"/>
              </w:rPr>
              <w:drawing>
                <wp:anchor distT="0" distB="0" distL="114300" distR="114300" simplePos="0" relativeHeight="251659264" behindDoc="0" locked="0" layoutInCell="1" allowOverlap="1" wp14:anchorId="29F62220" wp14:editId="6287E6A9">
                  <wp:simplePos x="0" y="0"/>
                  <wp:positionH relativeFrom="column">
                    <wp:posOffset>312420</wp:posOffset>
                  </wp:positionH>
                  <wp:positionV relativeFrom="paragraph">
                    <wp:posOffset>210185</wp:posOffset>
                  </wp:positionV>
                  <wp:extent cx="1022350" cy="866775"/>
                  <wp:effectExtent l="0" t="0" r="6350" b="9525"/>
                  <wp:wrapThrough wrapText="bothSides">
                    <wp:wrapPolygon edited="0">
                      <wp:start x="0" y="0"/>
                      <wp:lineTo x="0" y="21363"/>
                      <wp:lineTo x="21332" y="21363"/>
                      <wp:lineTo x="213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23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tcPr>
          <w:p w:rsidR="004F35CE" w:rsidRPr="001453AC" w:rsidRDefault="00605D84">
            <w:pPr>
              <w:rPr>
                <w:b/>
                <w:bCs/>
              </w:rPr>
            </w:pPr>
            <w:r>
              <w:rPr>
                <w:rFonts w:ascii="Times New Roman" w:hAnsi="Times New Roman" w:cs="Times New Roman"/>
                <w:noProof/>
                <w:color w:val="000000"/>
                <w:sz w:val="20"/>
              </w:rPr>
              <w:drawing>
                <wp:anchor distT="0" distB="0" distL="114300" distR="114300" simplePos="0" relativeHeight="251661312" behindDoc="0" locked="0" layoutInCell="1" allowOverlap="1" wp14:anchorId="61D37DCF" wp14:editId="098E48CB">
                  <wp:simplePos x="0" y="0"/>
                  <wp:positionH relativeFrom="margin">
                    <wp:posOffset>796925</wp:posOffset>
                  </wp:positionH>
                  <wp:positionV relativeFrom="paragraph">
                    <wp:posOffset>224155</wp:posOffset>
                  </wp:positionV>
                  <wp:extent cx="781050" cy="955040"/>
                  <wp:effectExtent l="0" t="0" r="0" b="0"/>
                  <wp:wrapThrough wrapText="bothSides">
                    <wp:wrapPolygon edited="0">
                      <wp:start x="0" y="0"/>
                      <wp:lineTo x="0" y="21112"/>
                      <wp:lineTo x="21073" y="21112"/>
                      <wp:lineTo x="210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55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7" w:type="dxa"/>
          </w:tcPr>
          <w:p w:rsidR="004F35CE" w:rsidRPr="001453AC" w:rsidRDefault="00605D84">
            <w:pPr>
              <w:rPr>
                <w:b/>
                <w:bCs/>
              </w:rPr>
            </w:pPr>
            <w:r>
              <w:rPr>
                <w:rFonts w:ascii="Times New Roman" w:hAnsi="Times New Roman" w:cs="Times New Roman"/>
                <w:noProof/>
                <w:sz w:val="20"/>
              </w:rPr>
              <w:drawing>
                <wp:anchor distT="0" distB="0" distL="114300" distR="114300" simplePos="0" relativeHeight="251663360" behindDoc="0" locked="0" layoutInCell="1" allowOverlap="1" wp14:anchorId="277595D3" wp14:editId="65018E8D">
                  <wp:simplePos x="0" y="0"/>
                  <wp:positionH relativeFrom="margin">
                    <wp:posOffset>-68580</wp:posOffset>
                  </wp:positionH>
                  <wp:positionV relativeFrom="paragraph">
                    <wp:posOffset>362585</wp:posOffset>
                  </wp:positionV>
                  <wp:extent cx="1960886" cy="571500"/>
                  <wp:effectExtent l="0" t="0" r="1270" b="0"/>
                  <wp:wrapThrough wrapText="bothSides">
                    <wp:wrapPolygon edited="0">
                      <wp:start x="0" y="0"/>
                      <wp:lineTo x="0" y="20880"/>
                      <wp:lineTo x="21404" y="20880"/>
                      <wp:lineTo x="2140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0886"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F35CE" w:rsidTr="001453AC">
        <w:tc>
          <w:tcPr>
            <w:tcW w:w="2405" w:type="dxa"/>
          </w:tcPr>
          <w:p w:rsidR="004F35CE" w:rsidRDefault="004F35CE"/>
        </w:tc>
        <w:tc>
          <w:tcPr>
            <w:tcW w:w="3828" w:type="dxa"/>
          </w:tcPr>
          <w:p w:rsidR="004F35CE" w:rsidRPr="001453AC" w:rsidRDefault="004F35CE">
            <w:pPr>
              <w:rPr>
                <w:b/>
                <w:bCs/>
              </w:rPr>
            </w:pPr>
          </w:p>
        </w:tc>
        <w:tc>
          <w:tcPr>
            <w:tcW w:w="3117" w:type="dxa"/>
          </w:tcPr>
          <w:p w:rsidR="004F35CE" w:rsidRPr="001453AC" w:rsidRDefault="004F35CE">
            <w:pPr>
              <w:rPr>
                <w:b/>
                <w:bCs/>
              </w:rPr>
            </w:pPr>
          </w:p>
        </w:tc>
      </w:tr>
      <w:tr w:rsidR="004F35CE" w:rsidTr="001453AC">
        <w:tc>
          <w:tcPr>
            <w:tcW w:w="2405" w:type="dxa"/>
          </w:tcPr>
          <w:p w:rsidR="004F35CE" w:rsidRPr="00605D84" w:rsidRDefault="00605D84">
            <w:pPr>
              <w:rPr>
                <w:b/>
                <w:bCs/>
                <w:sz w:val="24"/>
                <w:szCs w:val="24"/>
              </w:rPr>
            </w:pPr>
            <w:r w:rsidRPr="00605D84">
              <w:rPr>
                <w:rFonts w:ascii="Times New Roman" w:hAnsi="Times New Roman" w:cs="Times New Roman"/>
                <w:b/>
                <w:bCs/>
                <w:iCs/>
                <w:color w:val="000000"/>
                <w:sz w:val="24"/>
                <w:szCs w:val="24"/>
              </w:rPr>
              <w:t>ICC WORLD CUP</w:t>
            </w:r>
          </w:p>
        </w:tc>
        <w:tc>
          <w:tcPr>
            <w:tcW w:w="3828" w:type="dxa"/>
          </w:tcPr>
          <w:p w:rsidR="004F35CE" w:rsidRPr="001453AC" w:rsidRDefault="004F35CE">
            <w:pPr>
              <w:rPr>
                <w:b/>
                <w:bCs/>
              </w:rPr>
            </w:pPr>
          </w:p>
        </w:tc>
        <w:tc>
          <w:tcPr>
            <w:tcW w:w="3117" w:type="dxa"/>
          </w:tcPr>
          <w:p w:rsidR="004F35CE" w:rsidRPr="00605D84" w:rsidRDefault="00605D84">
            <w:pPr>
              <w:rPr>
                <w:b/>
                <w:bCs/>
                <w:szCs w:val="22"/>
              </w:rPr>
            </w:pPr>
            <w:r w:rsidRPr="00605D84">
              <w:rPr>
                <w:rFonts w:ascii="Times New Roman" w:hAnsi="Times New Roman" w:cs="Times New Roman"/>
                <w:b/>
                <w:bCs/>
                <w:iCs/>
                <w:color w:val="000000"/>
                <w:szCs w:val="22"/>
              </w:rPr>
              <w:t>ICC CRICKET WORLD CUP</w:t>
            </w:r>
            <w:r w:rsidRPr="00605D84">
              <w:rPr>
                <w:b/>
                <w:bCs/>
                <w:szCs w:val="22"/>
              </w:rPr>
              <w:t xml:space="preserve"> </w:t>
            </w:r>
          </w:p>
        </w:tc>
      </w:tr>
      <w:tr w:rsidR="004F35CE" w:rsidTr="001453AC">
        <w:tc>
          <w:tcPr>
            <w:tcW w:w="9350" w:type="dxa"/>
            <w:gridSpan w:val="3"/>
          </w:tcPr>
          <w:p w:rsidR="00605D84" w:rsidRDefault="00605D84" w:rsidP="004F35CE">
            <w:pPr>
              <w:jc w:val="both"/>
              <w:rPr>
                <w:rFonts w:cs="Mangal"/>
                <w:b/>
                <w:bCs/>
                <w:cs/>
              </w:rPr>
            </w:pPr>
          </w:p>
          <w:p w:rsidR="00605D84" w:rsidRDefault="00605D84" w:rsidP="004F35CE">
            <w:pPr>
              <w:jc w:val="both"/>
              <w:rPr>
                <w:rFonts w:cs="Mangal"/>
                <w:b/>
                <w:bCs/>
                <w:cs/>
              </w:rPr>
            </w:pPr>
          </w:p>
          <w:p w:rsidR="004F35CE" w:rsidRPr="001453AC" w:rsidRDefault="004F35CE" w:rsidP="004F35CE">
            <w:pPr>
              <w:jc w:val="both"/>
              <w:rPr>
                <w:b/>
                <w:bCs/>
              </w:rPr>
            </w:pPr>
            <w:bookmarkStart w:id="0" w:name="_GoBack"/>
            <w:bookmarkEnd w:id="0"/>
            <w:r w:rsidRPr="001453AC">
              <w:rPr>
                <w:rFonts w:cs="Mangal"/>
                <w:b/>
                <w:bCs/>
                <w:cs/>
              </w:rPr>
              <w:t xml:space="preserve">उपरोक्त ट्रेडमार्क भारत में पंजीकृत हैं और हमारे ग्राहकों और उनके विशेष रूप से नियुक्त आधिकारिक प्रायोजकों और लाइसेंसधारियों द्वारा </w:t>
            </w:r>
            <w:r w:rsidRPr="001453AC">
              <w:rPr>
                <w:b/>
                <w:bCs/>
              </w:rPr>
              <w:t xml:space="preserve">5 </w:t>
            </w:r>
            <w:r w:rsidRPr="001453AC">
              <w:rPr>
                <w:rFonts w:cs="Mangal"/>
                <w:b/>
                <w:bCs/>
                <w:cs/>
              </w:rPr>
              <w:t xml:space="preserve">अक्टूबर से </w:t>
            </w:r>
            <w:r w:rsidRPr="001453AC">
              <w:rPr>
                <w:b/>
                <w:bCs/>
              </w:rPr>
              <w:t xml:space="preserve">19 </w:t>
            </w:r>
            <w:r w:rsidRPr="001453AC">
              <w:rPr>
                <w:rFonts w:cs="Mangal"/>
                <w:b/>
                <w:bCs/>
                <w:cs/>
              </w:rPr>
              <w:t xml:space="preserve">नवंबर </w:t>
            </w:r>
            <w:r w:rsidRPr="001453AC">
              <w:rPr>
                <w:b/>
                <w:bCs/>
              </w:rPr>
              <w:t xml:space="preserve">2023 </w:t>
            </w:r>
            <w:r w:rsidRPr="001453AC">
              <w:rPr>
                <w:rFonts w:cs="Mangal"/>
                <w:b/>
                <w:bCs/>
                <w:cs/>
              </w:rPr>
              <w:t>तक भारत में आईसीसी पुरुष क्रिकेट विश्व कप के संबंध में उपयोग किए जा रहे हैं।</w:t>
            </w:r>
          </w:p>
        </w:tc>
      </w:tr>
      <w:tr w:rsidR="004F35CE" w:rsidTr="001453AC">
        <w:tc>
          <w:tcPr>
            <w:tcW w:w="2405" w:type="dxa"/>
          </w:tcPr>
          <w:p w:rsidR="004F35CE" w:rsidRDefault="004F35CE"/>
        </w:tc>
        <w:tc>
          <w:tcPr>
            <w:tcW w:w="3828" w:type="dxa"/>
          </w:tcPr>
          <w:p w:rsidR="004F35CE" w:rsidRPr="001453AC" w:rsidRDefault="004F35CE">
            <w:pPr>
              <w:rPr>
                <w:b/>
                <w:bCs/>
              </w:rPr>
            </w:pPr>
          </w:p>
        </w:tc>
        <w:tc>
          <w:tcPr>
            <w:tcW w:w="3117" w:type="dxa"/>
          </w:tcPr>
          <w:p w:rsidR="004F35CE" w:rsidRPr="001453AC" w:rsidRDefault="004F35CE">
            <w:pPr>
              <w:rPr>
                <w:b/>
                <w:bCs/>
              </w:rPr>
            </w:pPr>
          </w:p>
        </w:tc>
      </w:tr>
      <w:tr w:rsidR="001453AC" w:rsidTr="001453AC">
        <w:tc>
          <w:tcPr>
            <w:tcW w:w="9350" w:type="dxa"/>
            <w:gridSpan w:val="3"/>
          </w:tcPr>
          <w:p w:rsidR="001453AC" w:rsidRPr="001453AC" w:rsidRDefault="001453AC" w:rsidP="001453AC">
            <w:pPr>
              <w:jc w:val="both"/>
              <w:rPr>
                <w:b/>
                <w:bCs/>
              </w:rPr>
            </w:pPr>
            <w:r w:rsidRPr="001453AC">
              <w:rPr>
                <w:rFonts w:cs="Mangal"/>
                <w:b/>
                <w:bCs/>
                <w:cs/>
              </w:rPr>
              <w:t>इसके द्वारा नोटिस दिया जाता है कि हमारे ग्राहक भारत में उपरोक्त ट्रेडमार्क के संबंध में सभी अधिकारों का दावा करते हैं और उपरोक्त ट्रेडमार्क या किसी अन्य ट्रेडमार्क का उपयोग करते हुए पाए जाने वाले किसी भी व्यक्ति या व्यक्ति के खिलाफ मौजूदा कानूनों के अनुसार उचित कानूनी कार्रवाई शुरू करेंगे। इसके बारे में व्यावहारिक रूप से या भ्रामक रूप से समान हमारे ग्राहकों का कोई अन्य आईपीआर</w:t>
            </w:r>
            <w:r w:rsidRPr="001453AC">
              <w:rPr>
                <w:b/>
                <w:bCs/>
              </w:rPr>
              <w:t xml:space="preserve">, </w:t>
            </w:r>
            <w:r w:rsidRPr="001453AC">
              <w:rPr>
                <w:rFonts w:cs="Mangal"/>
                <w:b/>
                <w:bCs/>
                <w:cs/>
              </w:rPr>
              <w:t>उनके अधिकारों के उल्लंघन में। ऐसे अधिनियम वैधानिक प्रावधानों के तहत नागरिक और आपराधिक दायित्व को आकर्षित करते हैं।</w:t>
            </w:r>
          </w:p>
        </w:tc>
      </w:tr>
      <w:tr w:rsidR="004F35CE" w:rsidTr="001453AC">
        <w:tc>
          <w:tcPr>
            <w:tcW w:w="2405" w:type="dxa"/>
          </w:tcPr>
          <w:p w:rsidR="004F35CE" w:rsidRDefault="004F35CE"/>
        </w:tc>
        <w:tc>
          <w:tcPr>
            <w:tcW w:w="3828" w:type="dxa"/>
          </w:tcPr>
          <w:p w:rsidR="004F35CE" w:rsidRPr="001453AC" w:rsidRDefault="004F35CE">
            <w:pPr>
              <w:rPr>
                <w:b/>
                <w:bCs/>
              </w:rPr>
            </w:pPr>
          </w:p>
        </w:tc>
        <w:tc>
          <w:tcPr>
            <w:tcW w:w="3117" w:type="dxa"/>
          </w:tcPr>
          <w:p w:rsidR="004F35CE" w:rsidRPr="001453AC" w:rsidRDefault="004F35CE">
            <w:pPr>
              <w:rPr>
                <w:b/>
                <w:bCs/>
              </w:rPr>
            </w:pPr>
          </w:p>
        </w:tc>
      </w:tr>
      <w:tr w:rsidR="001453AC" w:rsidTr="001453AC">
        <w:tc>
          <w:tcPr>
            <w:tcW w:w="9350" w:type="dxa"/>
            <w:gridSpan w:val="3"/>
          </w:tcPr>
          <w:p w:rsidR="001453AC" w:rsidRPr="001453AC" w:rsidRDefault="001453AC">
            <w:pPr>
              <w:rPr>
                <w:b/>
                <w:bCs/>
              </w:rPr>
            </w:pPr>
            <w:r w:rsidRPr="001453AC">
              <w:rPr>
                <w:rFonts w:cs="Mangal"/>
                <w:b/>
                <w:bCs/>
                <w:cs/>
              </w:rPr>
              <w:t>इंटरनेशनल क्रिकेट काउंसिल लिमिटेड ("आईसीसी") के माध्यम से</w:t>
            </w:r>
          </w:p>
        </w:tc>
      </w:tr>
      <w:tr w:rsidR="004F35CE" w:rsidTr="001453AC">
        <w:tc>
          <w:tcPr>
            <w:tcW w:w="2405" w:type="dxa"/>
          </w:tcPr>
          <w:p w:rsidR="004F35CE" w:rsidRDefault="004F35CE"/>
        </w:tc>
        <w:tc>
          <w:tcPr>
            <w:tcW w:w="3828" w:type="dxa"/>
          </w:tcPr>
          <w:p w:rsidR="004F35CE" w:rsidRDefault="004F35CE"/>
        </w:tc>
        <w:tc>
          <w:tcPr>
            <w:tcW w:w="3117" w:type="dxa"/>
          </w:tcPr>
          <w:p w:rsidR="004F35CE" w:rsidRDefault="004F35CE"/>
        </w:tc>
      </w:tr>
      <w:tr w:rsidR="001453AC" w:rsidTr="001453AC">
        <w:tc>
          <w:tcPr>
            <w:tcW w:w="9350" w:type="dxa"/>
            <w:gridSpan w:val="3"/>
          </w:tcPr>
          <w:p w:rsidR="001453AC" w:rsidRPr="001453AC" w:rsidRDefault="001453AC" w:rsidP="001453AC">
            <w:pPr>
              <w:jc w:val="center"/>
              <w:rPr>
                <w:b/>
                <w:bCs/>
                <w:sz w:val="32"/>
                <w:szCs w:val="32"/>
              </w:rPr>
            </w:pPr>
            <w:r w:rsidRPr="001453AC">
              <w:rPr>
                <w:rFonts w:cs="Mangal"/>
                <w:b/>
                <w:bCs/>
                <w:sz w:val="32"/>
                <w:szCs w:val="32"/>
                <w:cs/>
              </w:rPr>
              <w:t>सेन-ओबेरॉय</w:t>
            </w:r>
          </w:p>
          <w:p w:rsidR="001453AC" w:rsidRPr="001453AC" w:rsidRDefault="001453AC" w:rsidP="001453AC">
            <w:pPr>
              <w:jc w:val="center"/>
              <w:rPr>
                <w:b/>
                <w:bCs/>
                <w:sz w:val="28"/>
                <w:szCs w:val="28"/>
              </w:rPr>
            </w:pPr>
            <w:r w:rsidRPr="001453AC">
              <w:rPr>
                <w:rFonts w:cs="Mangal"/>
                <w:b/>
                <w:bCs/>
                <w:sz w:val="28"/>
                <w:szCs w:val="28"/>
                <w:cs/>
              </w:rPr>
              <w:t>कानूनन वकील</w:t>
            </w:r>
          </w:p>
          <w:p w:rsidR="001453AC" w:rsidRPr="001453AC" w:rsidRDefault="001453AC" w:rsidP="001453AC">
            <w:pPr>
              <w:jc w:val="center"/>
              <w:rPr>
                <w:b/>
                <w:bCs/>
                <w:sz w:val="24"/>
                <w:szCs w:val="24"/>
              </w:rPr>
            </w:pPr>
            <w:r w:rsidRPr="001453AC">
              <w:rPr>
                <w:rFonts w:cs="Mangal"/>
                <w:b/>
                <w:bCs/>
                <w:sz w:val="24"/>
                <w:szCs w:val="24"/>
                <w:cs/>
              </w:rPr>
              <w:t>ए-</w:t>
            </w:r>
            <w:r w:rsidRPr="001453AC">
              <w:rPr>
                <w:b/>
                <w:bCs/>
                <w:sz w:val="24"/>
                <w:szCs w:val="24"/>
              </w:rPr>
              <w:t xml:space="preserve">18, </w:t>
            </w:r>
            <w:r w:rsidRPr="001453AC">
              <w:rPr>
                <w:rFonts w:cs="Mangal"/>
                <w:b/>
                <w:bCs/>
                <w:sz w:val="24"/>
                <w:szCs w:val="24"/>
                <w:cs/>
              </w:rPr>
              <w:t>चितरंजन पार्क</w:t>
            </w:r>
            <w:r w:rsidRPr="001453AC">
              <w:rPr>
                <w:b/>
                <w:bCs/>
                <w:sz w:val="24"/>
                <w:szCs w:val="24"/>
              </w:rPr>
              <w:t xml:space="preserve">, </w:t>
            </w:r>
            <w:r w:rsidRPr="001453AC">
              <w:rPr>
                <w:rFonts w:cs="Mangal"/>
                <w:b/>
                <w:bCs/>
                <w:sz w:val="24"/>
                <w:szCs w:val="24"/>
                <w:cs/>
              </w:rPr>
              <w:t xml:space="preserve">नई दिल्ली </w:t>
            </w:r>
            <w:r w:rsidRPr="001453AC">
              <w:rPr>
                <w:b/>
                <w:bCs/>
                <w:sz w:val="24"/>
                <w:szCs w:val="24"/>
              </w:rPr>
              <w:t xml:space="preserve">110 019, </w:t>
            </w:r>
            <w:r w:rsidRPr="001453AC">
              <w:rPr>
                <w:rFonts w:cs="Mangal"/>
                <w:b/>
                <w:bCs/>
                <w:sz w:val="24"/>
                <w:szCs w:val="24"/>
                <w:cs/>
              </w:rPr>
              <w:t>भारत</w:t>
            </w:r>
          </w:p>
          <w:p w:rsidR="001453AC" w:rsidRPr="001453AC" w:rsidRDefault="001453AC" w:rsidP="001453AC">
            <w:pPr>
              <w:jc w:val="center"/>
              <w:rPr>
                <w:b/>
                <w:bCs/>
                <w:sz w:val="24"/>
                <w:szCs w:val="24"/>
              </w:rPr>
            </w:pPr>
            <w:r w:rsidRPr="001453AC">
              <w:rPr>
                <w:rFonts w:cs="Mangal"/>
                <w:b/>
                <w:bCs/>
                <w:sz w:val="24"/>
                <w:szCs w:val="24"/>
                <w:cs/>
              </w:rPr>
              <w:t>फ़ोन: (</w:t>
            </w:r>
            <w:r w:rsidRPr="001453AC">
              <w:rPr>
                <w:b/>
                <w:bCs/>
                <w:sz w:val="24"/>
                <w:szCs w:val="24"/>
              </w:rPr>
              <w:t>91 11) 2627-1755, 2627-3230, 4160-2150</w:t>
            </w:r>
          </w:p>
          <w:p w:rsidR="001453AC" w:rsidRPr="001453AC" w:rsidRDefault="001453AC" w:rsidP="001453AC">
            <w:pPr>
              <w:jc w:val="center"/>
              <w:rPr>
                <w:b/>
                <w:bCs/>
                <w:sz w:val="24"/>
                <w:szCs w:val="24"/>
              </w:rPr>
            </w:pPr>
            <w:r w:rsidRPr="001453AC">
              <w:rPr>
                <w:rFonts w:cs="Mangal"/>
                <w:b/>
                <w:bCs/>
                <w:sz w:val="24"/>
                <w:szCs w:val="24"/>
                <w:cs/>
              </w:rPr>
              <w:t xml:space="preserve">मोबाइल (डाहलिया सेन ओबेरॉय): </w:t>
            </w:r>
            <w:r w:rsidRPr="001453AC">
              <w:rPr>
                <w:b/>
                <w:bCs/>
                <w:sz w:val="24"/>
                <w:szCs w:val="24"/>
              </w:rPr>
              <w:t>919811117616</w:t>
            </w:r>
          </w:p>
          <w:p w:rsidR="001453AC" w:rsidRPr="001453AC" w:rsidRDefault="001453AC" w:rsidP="001453AC">
            <w:pPr>
              <w:jc w:val="center"/>
              <w:rPr>
                <w:b/>
                <w:bCs/>
              </w:rPr>
            </w:pPr>
            <w:r w:rsidRPr="001453AC">
              <w:rPr>
                <w:rFonts w:cs="Mangal"/>
                <w:b/>
                <w:bCs/>
                <w:sz w:val="24"/>
                <w:szCs w:val="24"/>
                <w:cs/>
              </w:rPr>
              <w:t xml:space="preserve">ई-मेल: </w:t>
            </w:r>
            <w:r w:rsidRPr="001453AC">
              <w:rPr>
                <w:b/>
                <w:bCs/>
                <w:sz w:val="24"/>
                <w:szCs w:val="24"/>
              </w:rPr>
              <w:t>dallia@sen-oberol.com</w:t>
            </w:r>
          </w:p>
        </w:tc>
      </w:tr>
      <w:tr w:rsidR="001453AC" w:rsidTr="001453AC">
        <w:tc>
          <w:tcPr>
            <w:tcW w:w="2405" w:type="dxa"/>
          </w:tcPr>
          <w:p w:rsidR="001453AC" w:rsidRDefault="001453AC"/>
        </w:tc>
        <w:tc>
          <w:tcPr>
            <w:tcW w:w="3828" w:type="dxa"/>
          </w:tcPr>
          <w:p w:rsidR="001453AC" w:rsidRDefault="001453AC"/>
        </w:tc>
        <w:tc>
          <w:tcPr>
            <w:tcW w:w="3117" w:type="dxa"/>
          </w:tcPr>
          <w:p w:rsidR="001453AC" w:rsidRDefault="001453AC"/>
        </w:tc>
      </w:tr>
    </w:tbl>
    <w:p w:rsidR="006C69F2" w:rsidRDefault="006C69F2"/>
    <w:sectPr w:rsidR="006C69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CE"/>
    <w:rsid w:val="001453AC"/>
    <w:rsid w:val="004F35CE"/>
    <w:rsid w:val="00605D84"/>
    <w:rsid w:val="006C69F2"/>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3D6BD-22AC-4273-92E1-642D9CA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3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Virender Rana</cp:lastModifiedBy>
  <cp:revision>2</cp:revision>
  <cp:lastPrinted>2023-10-14T06:53:00Z</cp:lastPrinted>
  <dcterms:created xsi:type="dcterms:W3CDTF">2023-10-13T16:47:00Z</dcterms:created>
  <dcterms:modified xsi:type="dcterms:W3CDTF">2023-10-14T06:53:00Z</dcterms:modified>
</cp:coreProperties>
</file>